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211455</wp:posOffset>
            </wp:positionH>
            <wp:positionV relativeFrom="page">
              <wp:posOffset>291465</wp:posOffset>
            </wp:positionV>
            <wp:extent cx="71577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3180"/>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342900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57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38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57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7157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t>ENIGMATIG LIMITED</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57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c/o 16 Raffles Quay, #30-01, Hong Leong Building, Singapore, 048581</w:t>
      </w:r>
    </w:p>
    <w:p>
      <w:pPr>
        <w:spacing w:after="0" w:line="31"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57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57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197485</wp:posOffset>
            </wp:positionV>
            <wp:extent cx="71577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3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514985</wp:posOffset>
            </wp:positionV>
            <wp:extent cx="7157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0138"/>
          </w:cols>
          <w:pgMar w:left="340" w:top="7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2"/>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4"/>
                <w:szCs w:val="24"/>
                <w:color w:val="auto"/>
              </w:rPr>
            </w:pPr>
          </w:p>
        </w:tc>
        <w:tc>
          <w:tcPr>
            <w:tcW w:w="10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9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spacing w:after="0"/>
              <w:rPr>
                <w:sz w:val="16"/>
                <w:szCs w:val="16"/>
                <w:color w:val="auto"/>
              </w:rPr>
            </w:pPr>
          </w:p>
        </w:tc>
        <w:tc>
          <w:tcPr>
            <w:tcW w:w="101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 Enigmatig Reports 12.2% Revenue Growth and 68.8% Gross Margin in Fiscal 2025 Following NYSE American Listing</w:t>
            </w:r>
          </w:p>
        </w:tc>
      </w:tr>
      <w:tr>
        <w:trPr>
          <w:trHeight w:val="432"/>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8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r>
    </w:tbl>
    <w:p>
      <w:pPr>
        <w:sectPr>
          <w:pgSz w:w="11920" w:h="16838" w:orient="portrait"/>
          <w:cols w:equalWidth="0" w:num="1">
            <w:col w:w="11260"/>
          </w:cols>
          <w:pgMar w:left="340" w:top="679" w:right="31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ENIGMATIG LIMITED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Foo Chee Weng Desmond</w:t>
            </w:r>
          </w:p>
        </w:tc>
      </w:tr>
      <w:tr>
        <w:trPr>
          <w:trHeight w:val="191"/>
        </w:trPr>
        <w:tc>
          <w:tcPr>
            <w:tcW w:w="370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Foo Chee Weng Desmond</w:t>
            </w:r>
          </w:p>
        </w:tc>
      </w:tr>
      <w:tr>
        <w:trPr>
          <w:trHeight w:val="234"/>
        </w:trPr>
        <w:tc>
          <w:tcPr>
            <w:tcW w:w="37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Chairman and Chief Executive Officer</w:t>
            </w:r>
          </w:p>
        </w:tc>
      </w:tr>
      <w:tr>
        <w:trPr>
          <w:trHeight w:val="432"/>
        </w:trPr>
        <w:tc>
          <w:tcPr>
            <w:tcW w:w="3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679" w:right="318"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Enigmatig Reports 12.2% Revenue Growth and 68.8% Gross Margin in Fiscal 2025 Following NYSE American Listing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Singapore, February 17, 2026 (Globe Newswire) </w:t>
      </w:r>
      <w:r>
        <w:rPr>
          <w:rFonts w:ascii="Times New Roman" w:cs="Times New Roman" w:eastAsia="Times New Roman" w:hAnsi="Times New Roman"/>
          <w:sz w:val="18"/>
          <w:szCs w:val="18"/>
          <w:color w:val="auto"/>
        </w:rPr>
        <w:t>– Enigmatig Limited (NYSE American: EGG) (“Enigmatig” or the “Company”), a global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enabler supporting companies expanding across borders, today announced audited financial results for the fiscal year ended September 30, 2025. Revenue increased 12.2% year over year, with gross margin expanding to 68.8% and a strengthened balance sheet following the Company’s NYSE American listing. The Company also announced that it has filed its annual report on Form 20-F for the fiscal year ended September 30, 2025 with the U.S.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Highlights</w:t>
      </w:r>
    </w:p>
    <w:p>
      <w:pPr>
        <w:spacing w:after="0" w:line="229" w:lineRule="exact"/>
        <w:rPr>
          <w:sz w:val="20"/>
          <w:szCs w:val="20"/>
          <w:color w:val="auto"/>
        </w:rPr>
      </w:pPr>
    </w:p>
    <w:p>
      <w:pPr>
        <w:ind w:left="640" w:hanging="37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corporate services income increased by 12.2% to US$4.5 million for fiscal year 2025, compared with US$4.0 million for fiscal year 2024.</w:t>
      </w:r>
    </w:p>
    <w:p>
      <w:pPr>
        <w:spacing w:after="0" w:line="2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was US$1.4 million for fiscal year 2025, compared with US$1.3 million for fiscal year 2024.</w:t>
      </w:r>
    </w:p>
    <w:p>
      <w:pPr>
        <w:spacing w:after="0" w:line="9"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14.9% to US$3.1 million for fiscal year 2025, compared with US$2.7 million for fiscal year 2024.</w:t>
      </w:r>
    </w:p>
    <w:p>
      <w:pPr>
        <w:spacing w:after="0" w:line="9"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from operations was US$0.5 million for fiscal year 2025, compared with US$1.0 million for fiscal year 2024.</w:t>
      </w:r>
    </w:p>
    <w:p>
      <w:pPr>
        <w:spacing w:after="0" w:line="9"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was US$0.6 million for fiscal year 2025, compared with US$0.8 million for fiscal year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229" w:lineRule="exact"/>
        <w:rPr>
          <w:sz w:val="20"/>
          <w:szCs w:val="20"/>
          <w:color w:val="auto"/>
        </w:rPr>
      </w:pPr>
    </w:p>
    <w:p>
      <w:pPr>
        <w:ind w:left="640" w:hanging="377"/>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celebrated its IPO listing with a bell-ringing ceremony at the New York Stock Exchange (“NYSE”), marking a major milestone in its global expansion journey.</w:t>
      </w:r>
    </w:p>
    <w:p>
      <w:pPr>
        <w:jc w:val="both"/>
        <w:ind w:left="640" w:hanging="377"/>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signed a Memorandum of Understanding (MOU) with Thailand-based TVA Capital Consultancy Co., Ltd. (“TVA Capital”) to jointly pursue opportunities in corporate and financial advisory as well as M&amp;A. This collaboration marks the Company’s first strategic partnership since its NYSE listing and establishes Thailand as a gateway for further expansion in Asia Pacific.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Quotes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“Fiscal 2025 marked our transition from a privately operated business to a publicly listed growth company with the operational scale to drive our next phase of development,” said Desmond Foo, Enigmatig’s Founder and CEO. “Supported by revenue growth, margin improvement, and a strengthened balance sheet following our IPO, we remain focused on expanding across high-growth markets in Asia Pacific and the Middle East, investing in technology, and forming strategic partnerships to drive long-term shareholder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delivered double-digit revenue growth and increased gross margins to 68.8% for 2025, driven by robust demand for our recurring corporate secretarial services, demonstrating the scalability of our model, said Mingwen Teo, Enigmatig’s Director and CFO. “While reported net profit reflects one-off IPO-related expenses, our core operating performance remains strong. With US$13.2 million in cash, we are well-positioned to invest in technology and infrastructure that enhance operation leverage and support sustainable growth and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services income grew by 12.2% year-over-year to US$4.5 million for fiscal year 2025, up from US$4.0 million in fiscal year 2024. The increase was primarily attributable to expanded service scopes and deepened relationships within our existing client base, supported by the onboarding of new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260350</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328" w:right="31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table below sets forth the breakdown of our corporate services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Year Ended September 30,</w:t>
            </w: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4240" w:type="dxa"/>
            <w:vAlign w:val="bottom"/>
          </w:tcPr>
          <w:p>
            <w:pPr>
              <w:spacing w:after="0"/>
              <w:rPr>
                <w:sz w:val="18"/>
                <w:szCs w:val="18"/>
                <w:color w:val="auto"/>
              </w:rPr>
            </w:pPr>
          </w:p>
        </w:tc>
        <w:tc>
          <w:tcPr>
            <w:tcW w:w="196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US$</w:t>
            </w: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1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4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services income:</w:t>
            </w:r>
          </w:p>
        </w:tc>
        <w:tc>
          <w:tcPr>
            <w:tcW w:w="1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License application and renewal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2,215,522</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secretarial and other services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2,236,184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42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3,967,802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4,451,706</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0"/>
                <w:szCs w:val="20"/>
                <w:color w:val="auto"/>
              </w:rPr>
            </w:pPr>
          </w:p>
        </w:tc>
      </w:tr>
    </w:tbl>
    <w:p>
      <w:pPr>
        <w:spacing w:after="0" w:line="171" w:lineRule="exact"/>
        <w:rPr>
          <w:sz w:val="20"/>
          <w:szCs w:val="20"/>
          <w:color w:val="auto"/>
        </w:rPr>
      </w:pPr>
    </w:p>
    <w:p>
      <w:pPr>
        <w:jc w:val="both"/>
        <w:ind w:left="640" w:hanging="377"/>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 application and renewal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from license application and renewal services increased by 4.2% to US$2.2 million, up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US$2.1 million for the prior year, reflecting steady demand from our established client base. While the segment continued to grow, its contribution to total revenue shifted to 49.8% from 53.6% in the prior year, in line with the Company’s strategic initiative to diversify its service offerings, capturing broader value across the client lifecycle.</w:t>
      </w:r>
    </w:p>
    <w:p>
      <w:pPr>
        <w:spacing w:after="0" w:line="3" w:lineRule="exact"/>
        <w:rPr>
          <w:rFonts w:ascii="Times New Roman" w:cs="Times New Roman" w:eastAsia="Times New Roman" w:hAnsi="Times New Roman"/>
          <w:sz w:val="18"/>
          <w:szCs w:val="18"/>
          <w:color w:val="auto"/>
        </w:rPr>
      </w:pPr>
    </w:p>
    <w:p>
      <w:pPr>
        <w:jc w:val="both"/>
        <w:ind w:left="640" w:hanging="377"/>
        <w:spacing w:after="0" w:line="25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Corporate secretarial and other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from corporate secretarial and other services rose by 21.4% to US$2.2 million from US$1.8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fiscal year 2024, fueled by stronger engagement among both new and existing clients. This faster-growing segment now represents 50.2% of total revenue, up 3.8 percentage points year over year, demonstrating successful execution of our diversification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US$1.4 million for fiscal year 2025, compared to US$1.3 million for fiscal year 2024. The Company’s cost of sales primarily comprises staff costs, license application and renewal services costs, and corporate secretarial and related services costs. While total costs increased year over year, the Company benefited from economies of scale, with fixed costs more efficiently absorbed across a larger revenue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14.9% to US$3.1 million from US$2.7 million for fiscal year 2024. Gross margin for fiscal year 2025 expanded to 68.8%, compared to 67.1% for fiscal year 2024, reflecting improved operating leverage and enhanced service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totaled US$2.5 million, compared with US$1.6 million for fiscal year 2024. The increase was primarily driven by non-recurring IPO-related expenses, including professional service fees and Directors and Officers liability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from operations reached US$0.5 million, compared with US$1.0 million for fiscal year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totaled US$0.3 million, compared to a loss of US$0.06 million for fiscal year 2024. The increase was primarily driven by interest income and a release of customer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net profit of US$0.6 million for fiscal year 2025, compared with US$0.8 million for fiscal year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cash and cash equivalents of US$13.2 million, compared with US$1.6 million as of September 30, 2024, strengthening its financial position following its successful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Annual Report on Form 20-F for the fiscal year ended September 30, 2025 has been filed with the SEC and is available on the Investor Relations section of the Company’s website at </w:t>
      </w:r>
      <w:r>
        <w:rPr>
          <w:rFonts w:ascii="Times New Roman" w:cs="Times New Roman" w:eastAsia="Times New Roman" w:hAnsi="Times New Roman"/>
          <w:sz w:val="18"/>
          <w:szCs w:val="18"/>
          <w:u w:val="single" w:color="auto"/>
          <w:color w:val="auto"/>
        </w:rPr>
        <w:t>http://investors.enigmatig.com</w:t>
      </w:r>
      <w:r>
        <w:rPr>
          <w:rFonts w:ascii="Times New Roman" w:cs="Times New Roman" w:eastAsia="Times New Roman" w:hAnsi="Times New Roman"/>
          <w:sz w:val="18"/>
          <w:szCs w:val="18"/>
          <w:color w:val="auto"/>
        </w:rPr>
        <w:t xml:space="preserve"> and on the SEC’s website at www.sec.gov. Shareholders may receive a hard copy of the Company’s complete audited financial statements free of charge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Unless otherwise stated, all financial results are prepared in accordance with U.S. Generally Accepted Principles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7157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683" w:right="31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Enigmatig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Enigmatig is a global business enabler supporting companies in achieving their international ambitions. Since 2010, we have provided expertise, infrastructure, and regulatory guidance to help businesses operate and scale across borders.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capabilities spanning licensing, fintech, regtech and other corporate services, Enigmatig delivers tailored solutions across the business lifecycle — from incorporation to ongoing compliance. Our team navigates complex regulatory environments across major financial hubs and key offshore centers, including London, Cyprus, and Belize.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Headquartered in Singapore, with a presence in Hong Kong, Shanghai, London, and Bangkok, Enigmatig serves a diverse and growing international client base. For more information, please visit: </w:t>
      </w:r>
      <w:r>
        <w:rPr>
          <w:rFonts w:ascii="Times New Roman" w:cs="Times New Roman" w:eastAsia="Times New Roman" w:hAnsi="Times New Roman"/>
          <w:sz w:val="18"/>
          <w:szCs w:val="18"/>
          <w:u w:val="single" w:color="auto"/>
          <w:color w:val="auto"/>
        </w:rPr>
        <w:t>https://enigmatig.com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“could,” “will,” “should,” “would,” “expect,” “plan,” “aim,” “intend,” “anticipate,” “believe,” “estimate,” “predict,” “is/are likely to,” “potential,” “project” or “continue” or the negative of these terms or other comparable or similar terminology.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which are available for review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Enigmatig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investors@enigmatig.com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7157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679" w:right="318"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ENIGMATIG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4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1,593,037</w:t>
            </w:r>
          </w:p>
        </w:tc>
        <w:tc>
          <w:tcPr>
            <w:tcW w:w="5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13,206,006</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1,081,866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1,237,290</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578,783</w:t>
            </w:r>
          </w:p>
        </w:tc>
        <w:tc>
          <w:tcPr>
            <w:tcW w:w="10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00" w:type="dxa"/>
            <w:vAlign w:val="bottom"/>
            <w:shd w:val="clear" w:color="auto" w:fill="CCEEFF"/>
          </w:tcPr>
          <w:p>
            <w:pPr>
              <w:spacing w:after="0"/>
              <w:rPr>
                <w:sz w:val="19"/>
                <w:szCs w:val="19"/>
                <w:color w:val="auto"/>
              </w:rPr>
            </w:pPr>
          </w:p>
        </w:tc>
      </w:tr>
      <w:tr>
        <w:trPr>
          <w:trHeight w:val="209"/>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3,356,486</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15,098,159</w:t>
            </w:r>
          </w:p>
        </w:tc>
        <w:tc>
          <w:tcPr>
            <w:tcW w:w="100" w:type="dxa"/>
            <w:vAlign w:val="bottom"/>
            <w:tcBorders>
              <w:bottom w:val="single" w:sz="8" w:color="CCEEFF"/>
            </w:tcBorders>
          </w:tcPr>
          <w:p>
            <w:pPr>
              <w:spacing w:after="0"/>
              <w:rPr>
                <w:sz w:val="18"/>
                <w:szCs w:val="18"/>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218,450</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721,176</w:t>
            </w:r>
          </w:p>
        </w:tc>
        <w:tc>
          <w:tcPr>
            <w:tcW w:w="100" w:type="dxa"/>
            <w:vAlign w:val="bottom"/>
            <w:shd w:val="clear" w:color="auto" w:fill="CCEEFF"/>
          </w:tcPr>
          <w:p>
            <w:pPr>
              <w:spacing w:after="0"/>
              <w:rPr>
                <w:sz w:val="18"/>
                <w:szCs w:val="18"/>
                <w:color w:val="auto"/>
              </w:rPr>
            </w:pPr>
          </w:p>
        </w:tc>
      </w:tr>
      <w:tr>
        <w:trPr>
          <w:trHeight w:val="229"/>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2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2,179,519</w:t>
            </w:r>
          </w:p>
        </w:tc>
        <w:tc>
          <w:tcPr>
            <w:tcW w:w="100" w:type="dxa"/>
            <w:vAlign w:val="bottom"/>
            <w:tcBorders>
              <w:bottom w:val="single" w:sz="8" w:color="CCEEFF"/>
            </w:tcBorders>
          </w:tcPr>
          <w:p>
            <w:pPr>
              <w:spacing w:after="0"/>
              <w:rPr>
                <w:sz w:val="19"/>
                <w:szCs w:val="19"/>
                <w:color w:val="auto"/>
              </w:rPr>
            </w:pPr>
          </w:p>
        </w:tc>
      </w:tr>
      <w:tr>
        <w:trPr>
          <w:trHeight w:val="20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127,191</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3,483,677</w:t>
            </w:r>
          </w:p>
        </w:tc>
        <w:tc>
          <w:tcPr>
            <w:tcW w:w="5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18,217,304</w:t>
            </w:r>
          </w:p>
        </w:tc>
        <w:tc>
          <w:tcPr>
            <w:tcW w:w="100" w:type="dxa"/>
            <w:vAlign w:val="bottom"/>
          </w:tcPr>
          <w:p>
            <w:pPr>
              <w:spacing w:after="0"/>
              <w:rPr>
                <w:sz w:val="19"/>
                <w:szCs w:val="19"/>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48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5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334,923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and other liabilities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122,783</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765,229</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300,824</w:t>
            </w:r>
          </w:p>
        </w:tc>
        <w:tc>
          <w:tcPr>
            <w:tcW w:w="10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28,230</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293,088</w:t>
            </w:r>
          </w:p>
        </w:tc>
        <w:tc>
          <w:tcPr>
            <w:tcW w:w="100" w:type="dxa"/>
            <w:vAlign w:val="bottom"/>
          </w:tcPr>
          <w:p>
            <w:pPr>
              <w:spacing w:after="0"/>
              <w:rPr>
                <w:sz w:val="19"/>
                <w:szCs w:val="19"/>
                <w:color w:val="auto"/>
              </w:rPr>
            </w:pPr>
          </w:p>
        </w:tc>
      </w:tr>
      <w:tr>
        <w:trPr>
          <w:trHeight w:val="22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1,669,592</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1,816,847</w:t>
            </w:r>
          </w:p>
        </w:tc>
        <w:tc>
          <w:tcPr>
            <w:tcW w:w="100" w:type="dxa"/>
            <w:vAlign w:val="bottom"/>
            <w:shd w:val="clear" w:color="auto" w:fill="CCEEFF"/>
          </w:tcPr>
          <w:p>
            <w:pPr>
              <w:spacing w:after="0"/>
              <w:rPr>
                <w:sz w:val="19"/>
                <w:szCs w:val="19"/>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33,557</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407,622</w:t>
            </w:r>
          </w:p>
        </w:tc>
        <w:tc>
          <w:tcPr>
            <w:tcW w:w="100" w:type="dxa"/>
            <w:vAlign w:val="bottom"/>
            <w:tcBorders>
              <w:bottom w:val="single" w:sz="8" w:color="CCEEFF"/>
            </w:tcBorders>
          </w:tcPr>
          <w:p>
            <w:pPr>
              <w:spacing w:after="0"/>
              <w:rPr>
                <w:sz w:val="19"/>
                <w:szCs w:val="19"/>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1,703,149</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2,224,469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4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679" w:right="318"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ENIGMATIG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US$0.000002  par  value,  17,500,000,000  shares  authorized,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12,255,200 and 9,250,000 issued and outstanding as of September 30, 2025 and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US$0.000002  par  value,  7,500,000,000  shares  authorized,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15,750,000 issued and outstanding as of September 30, 2025 and 2024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13,801,234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1,519,286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2,078,949</w:t>
            </w:r>
          </w:p>
        </w:tc>
        <w:tc>
          <w:tcPr>
            <w:tcW w:w="100" w:type="dxa"/>
            <w:vAlign w:val="bottom"/>
            <w:shd w:val="clear" w:color="auto" w:fill="CCEEFF"/>
          </w:tcPr>
          <w:p>
            <w:pPr>
              <w:spacing w:after="0"/>
              <w:rPr>
                <w:sz w:val="18"/>
                <w:szCs w:val="18"/>
                <w:color w:val="auto"/>
              </w:rPr>
            </w:pPr>
          </w:p>
        </w:tc>
      </w:tr>
      <w:tr>
        <w:trPr>
          <w:trHeight w:val="22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112,596</w:t>
            </w:r>
          </w:p>
        </w:tc>
        <w:tc>
          <w:tcPr>
            <w:tcW w:w="100" w:type="dxa"/>
            <w:vAlign w:val="bottom"/>
            <w:tcBorders>
              <w:bottom w:val="single" w:sz="8" w:color="CCEEFF"/>
            </w:tcBorders>
          </w:tcPr>
          <w:p>
            <w:pPr>
              <w:spacing w:after="0"/>
              <w:rPr>
                <w:sz w:val="19"/>
                <w:szCs w:val="19"/>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1,780,528</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15,992,835</w:t>
            </w:r>
          </w:p>
        </w:tc>
        <w:tc>
          <w:tcPr>
            <w:tcW w:w="100" w:type="dxa"/>
            <w:vAlign w:val="bottom"/>
            <w:shd w:val="clear" w:color="auto" w:fill="CCEEFF"/>
          </w:tcPr>
          <w:p>
            <w:pPr>
              <w:spacing w:after="0"/>
              <w:rPr>
                <w:sz w:val="18"/>
                <w:szCs w:val="18"/>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3,483,677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18,217,304</w:t>
            </w:r>
          </w:p>
        </w:tc>
        <w:tc>
          <w:tcPr>
            <w:tcW w:w="10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679" w:right="318"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ENIGMATIG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For the Year Ended September 30,</w:t>
            </w: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services income</w:t>
            </w:r>
          </w:p>
        </w:tc>
        <w:tc>
          <w:tcPr>
            <w:tcW w:w="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3,967,802</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4,451,706</w:t>
            </w:r>
          </w:p>
        </w:tc>
        <w:tc>
          <w:tcPr>
            <w:tcW w:w="100" w:type="dxa"/>
            <w:vAlign w:val="bottom"/>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(1,304,075)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(1,390,929)</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2,663,727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3,060,777</w:t>
            </w:r>
          </w:p>
        </w:tc>
        <w:tc>
          <w:tcPr>
            <w:tcW w:w="100" w:type="dxa"/>
            <w:vAlign w:val="bottom"/>
            <w:shd w:val="clear" w:color="auto" w:fill="CCEEFF"/>
          </w:tcPr>
          <w:p>
            <w:pPr>
              <w:spacing w:after="0"/>
              <w:rPr>
                <w:sz w:val="18"/>
                <w:szCs w:val="18"/>
                <w:color w:val="auto"/>
              </w:rPr>
            </w:pPr>
          </w:p>
        </w:tc>
      </w:tr>
      <w:tr>
        <w:trPr>
          <w:trHeight w:val="243"/>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(426,445)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(546,951)</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expenses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(95,532)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(208,429)</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(1,113,213)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(1,734,361)</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(1,641,008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(2,522,780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1,022,719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537,997</w:t>
            </w:r>
          </w:p>
        </w:tc>
        <w:tc>
          <w:tcPr>
            <w:tcW w:w="100" w:type="dxa"/>
            <w:vAlign w:val="bottom"/>
            <w:shd w:val="clear" w:color="auto" w:fill="CCEEFF"/>
          </w:tcPr>
          <w:p>
            <w:pPr>
              <w:spacing w:after="0"/>
              <w:rPr>
                <w:sz w:val="19"/>
                <w:szCs w:val="19"/>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(loss)/income: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(loss)/income,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(59,315)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317,168</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(loss)/income</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(59,315)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317,168</w:t>
            </w:r>
          </w:p>
        </w:tc>
        <w:tc>
          <w:tcPr>
            <w:tcW w:w="100" w:type="dxa"/>
            <w:vAlign w:val="bottom"/>
            <w:shd w:val="clear" w:color="auto" w:fill="CCEEFF"/>
          </w:tcPr>
          <w:p>
            <w:pPr>
              <w:spacing w:after="0"/>
              <w:rPr>
                <w:sz w:val="19"/>
                <w:szCs w:val="19"/>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 expense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855,165</w:t>
            </w:r>
          </w:p>
        </w:tc>
        <w:tc>
          <w:tcPr>
            <w:tcW w:w="100" w:type="dxa"/>
            <w:vAlign w:val="bottom"/>
            <w:shd w:val="clear" w:color="auto" w:fill="CCEEFF"/>
          </w:tcPr>
          <w:p>
            <w:pPr>
              <w:spacing w:after="0"/>
              <w:rPr>
                <w:sz w:val="18"/>
                <w:szCs w:val="18"/>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(142,212)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(295,502)</w:t>
            </w: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821,192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income tax</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(31,276)</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967,851</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528,387</w:t>
            </w:r>
          </w:p>
        </w:tc>
        <w:tc>
          <w:tcPr>
            <w:tcW w:w="100" w:type="dxa"/>
            <w:vAlign w:val="bottom"/>
            <w:shd w:val="clear" w:color="auto" w:fill="CCEEFF"/>
          </w:tcPr>
          <w:p>
            <w:pPr>
              <w:spacing w:after="0"/>
              <w:rPr>
                <w:sz w:val="20"/>
                <w:szCs w:val="20"/>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r>
      <w:tr>
        <w:trPr>
          <w:trHeight w:val="243"/>
        </w:trPr>
        <w:tc>
          <w:tcPr>
            <w:tcW w:w="6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income per share</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25,872,743</w:t>
            </w:r>
          </w:p>
        </w:tc>
        <w:tc>
          <w:tcPr>
            <w:tcW w:w="100" w:type="dxa"/>
            <w:vAlign w:val="bottom"/>
            <w:shd w:val="clear" w:color="auto" w:fill="CCEEFF"/>
          </w:tcPr>
          <w:p>
            <w:pPr>
              <w:spacing w:after="0"/>
              <w:rPr>
                <w:sz w:val="18"/>
                <w:szCs w:val="18"/>
                <w:color w:val="auto"/>
              </w:rPr>
            </w:pPr>
          </w:p>
        </w:tc>
      </w:tr>
      <w:tr>
        <w:trPr>
          <w:trHeight w:val="432"/>
        </w:trPr>
        <w:tc>
          <w:tcPr>
            <w:tcW w:w="6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20" w:h="16838" w:orient="portrait"/>
      <w:cols w:equalWidth="0" w:num="1">
        <w:col w:w="11260"/>
      </w:cols>
      <w:pgMar w:left="340" w:top="679"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2026-02-17T17:02:44Z</dcterms:created>
  <dcterms:modified xsi:type="dcterms:W3CDTF">2026-02-17T17:02:44Z</dcterms:modified>
</cp:coreProperties>
</file>