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29"/>
        </w:trPr>
        <w:tc>
          <w:tcPr>
            <w:tcW w:w="8480" w:type="dxa"/>
            <w:vAlign w:val="bottom"/>
            <w:tcBorders>
              <w:right w:val="single" w:sz="8" w:color="auto"/>
            </w:tcBorders>
            <w:vMerge w:val="restart"/>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2780" w:type="dxa"/>
            <w:vAlign w:val="bottom"/>
            <w:tcBorders>
              <w:top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OMB APPROVAL</w:t>
            </w:r>
          </w:p>
        </w:tc>
        <w:tc>
          <w:tcPr>
            <w:tcW w:w="0" w:type="dxa"/>
            <w:vAlign w:val="bottom"/>
          </w:tcPr>
          <w:p>
            <w:pPr>
              <w:spacing w:after="0"/>
              <w:rPr>
                <w:sz w:val="1"/>
                <w:szCs w:val="1"/>
                <w:color w:val="auto"/>
              </w:rPr>
            </w:pPr>
          </w:p>
        </w:tc>
      </w:tr>
      <w:tr>
        <w:trPr>
          <w:trHeight w:val="187"/>
        </w:trPr>
        <w:tc>
          <w:tcPr>
            <w:tcW w:w="8480" w:type="dxa"/>
            <w:vAlign w:val="bottom"/>
            <w:tcBorders>
              <w:right w:val="single" w:sz="8" w:color="auto"/>
            </w:tcBorders>
            <w:vMerge w:val="continue"/>
          </w:tcPr>
          <w:p>
            <w:pPr>
              <w:spacing w:after="0"/>
              <w:rPr>
                <w:sz w:val="16"/>
                <w:szCs w:val="16"/>
                <w:color w:val="auto"/>
              </w:rPr>
            </w:pPr>
          </w:p>
        </w:tc>
        <w:tc>
          <w:tcPr>
            <w:tcW w:w="2780" w:type="dxa"/>
            <w:vAlign w:val="bottom"/>
            <w:tcBorders>
              <w:right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OMB Number:</w:t>
            </w:r>
          </w:p>
        </w:tc>
        <w:tc>
          <w:tcPr>
            <w:tcW w:w="0" w:type="dxa"/>
            <w:vAlign w:val="bottom"/>
          </w:tcPr>
          <w:p>
            <w:pPr>
              <w:spacing w:after="0"/>
              <w:rPr>
                <w:sz w:val="1"/>
                <w:szCs w:val="1"/>
                <w:color w:val="auto"/>
              </w:rPr>
            </w:pPr>
          </w:p>
        </w:tc>
      </w:tr>
      <w:tr>
        <w:trPr>
          <w:trHeight w:val="216"/>
        </w:trPr>
        <w:tc>
          <w:tcPr>
            <w:tcW w:w="8480" w:type="dxa"/>
            <w:vAlign w:val="bottom"/>
            <w:tcBorders>
              <w:right w:val="single" w:sz="8" w:color="auto"/>
            </w:tcBorders>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c>
          <w:tcPr>
            <w:tcW w:w="2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Expires:</w:t>
            </w:r>
          </w:p>
        </w:tc>
        <w:tc>
          <w:tcPr>
            <w:tcW w:w="0" w:type="dxa"/>
            <w:vAlign w:val="bottom"/>
          </w:tcPr>
          <w:p>
            <w:pPr>
              <w:spacing w:after="0"/>
              <w:rPr>
                <w:sz w:val="1"/>
                <w:szCs w:val="1"/>
                <w:color w:val="auto"/>
              </w:rPr>
            </w:pPr>
          </w:p>
        </w:tc>
      </w:tr>
      <w:tr>
        <w:trPr>
          <w:trHeight w:val="220"/>
        </w:trPr>
        <w:tc>
          <w:tcPr>
            <w:tcW w:w="8480" w:type="dxa"/>
            <w:vAlign w:val="bottom"/>
            <w:tcBorders>
              <w:right w:val="single" w:sz="8" w:color="auto"/>
            </w:tcBorders>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2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Estimated average burden</w:t>
            </w:r>
          </w:p>
        </w:tc>
        <w:tc>
          <w:tcPr>
            <w:tcW w:w="0" w:type="dxa"/>
            <w:vAlign w:val="bottom"/>
          </w:tcPr>
          <w:p>
            <w:pPr>
              <w:spacing w:after="0"/>
              <w:rPr>
                <w:sz w:val="1"/>
                <w:szCs w:val="1"/>
                <w:color w:val="auto"/>
              </w:rPr>
            </w:pPr>
          </w:p>
        </w:tc>
      </w:tr>
      <w:tr>
        <w:trPr>
          <w:trHeight w:val="234"/>
        </w:trPr>
        <w:tc>
          <w:tcPr>
            <w:tcW w:w="8480" w:type="dxa"/>
            <w:vAlign w:val="bottom"/>
            <w:tcBorders>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hours per response.............</w:t>
            </w:r>
          </w:p>
        </w:tc>
        <w:tc>
          <w:tcPr>
            <w:tcW w:w="0" w:type="dxa"/>
            <w:vAlign w:val="bottom"/>
          </w:tcPr>
          <w:p>
            <w:pPr>
              <w:spacing w:after="0"/>
              <w:rPr>
                <w:sz w:val="1"/>
                <w:szCs w:val="1"/>
                <w:color w:val="auto"/>
              </w:rPr>
            </w:pPr>
          </w:p>
        </w:tc>
      </w:tr>
      <w:tr>
        <w:trPr>
          <w:trHeight w:val="209"/>
        </w:trPr>
        <w:tc>
          <w:tcPr>
            <w:tcW w:w="8480" w:type="dxa"/>
            <w:vAlign w:val="bottom"/>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480" w:type="dxa"/>
            <w:vAlign w:val="bottom"/>
            <w:tcBorders>
              <w:right w:val="single" w:sz="8" w:color="auto"/>
            </w:tcBorders>
            <w:vMerge w:val="restart"/>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rPr>
              <w:t>FORM 12b-25</w:t>
            </w:r>
          </w:p>
        </w:tc>
        <w:tc>
          <w:tcPr>
            <w:tcW w:w="2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 FILE NUMBER:</w:t>
            </w:r>
          </w:p>
        </w:tc>
        <w:tc>
          <w:tcPr>
            <w:tcW w:w="0" w:type="dxa"/>
            <w:vAlign w:val="bottom"/>
          </w:tcPr>
          <w:p>
            <w:pPr>
              <w:spacing w:after="0"/>
              <w:rPr>
                <w:sz w:val="1"/>
                <w:szCs w:val="1"/>
                <w:color w:val="auto"/>
              </w:rPr>
            </w:pPr>
          </w:p>
        </w:tc>
      </w:tr>
      <w:tr>
        <w:trPr>
          <w:trHeight w:val="198"/>
        </w:trPr>
        <w:tc>
          <w:tcPr>
            <w:tcW w:w="8480" w:type="dxa"/>
            <w:vAlign w:val="bottom"/>
            <w:tcBorders>
              <w:right w:val="single" w:sz="8" w:color="auto"/>
            </w:tcBorders>
            <w:vMerge w:val="continue"/>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80" w:type="dxa"/>
            <w:vAlign w:val="bottom"/>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480" w:type="dxa"/>
            <w:vAlign w:val="bottom"/>
            <w:tcBorders>
              <w:right w:val="single" w:sz="8" w:color="auto"/>
            </w:tcBorders>
            <w:vMerge w:val="restart"/>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8"/>
              </w:rPr>
              <w:t>NOTIFICATION OF LATE FILING</w:t>
            </w:r>
          </w:p>
        </w:tc>
        <w:tc>
          <w:tcPr>
            <w:tcW w:w="2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NUMBER:</w:t>
            </w:r>
          </w:p>
        </w:tc>
        <w:tc>
          <w:tcPr>
            <w:tcW w:w="0" w:type="dxa"/>
            <w:vAlign w:val="bottom"/>
          </w:tcPr>
          <w:p>
            <w:pPr>
              <w:spacing w:after="0"/>
              <w:rPr>
                <w:sz w:val="1"/>
                <w:szCs w:val="1"/>
                <w:color w:val="auto"/>
              </w:rPr>
            </w:pPr>
          </w:p>
        </w:tc>
      </w:tr>
      <w:tr>
        <w:trPr>
          <w:trHeight w:val="198"/>
        </w:trPr>
        <w:tc>
          <w:tcPr>
            <w:tcW w:w="8480" w:type="dxa"/>
            <w:vAlign w:val="bottom"/>
            <w:tcBorders>
              <w:right w:val="single" w:sz="8" w:color="auto"/>
            </w:tcBorders>
            <w:vMerge w:val="continue"/>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26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i w:val="1"/>
                <w:iCs w:val="1"/>
                <w:color w:val="auto"/>
              </w:rPr>
              <w:t>(Check One)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20-F</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11-K</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10-Q</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10-D</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N-CEN</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N-CSR</w:t>
            </w:r>
          </w:p>
        </w:tc>
        <w:tc>
          <w:tcPr>
            <w:tcW w:w="0" w:type="dxa"/>
            <w:vAlign w:val="bottom"/>
          </w:tcPr>
          <w:p>
            <w:pPr>
              <w:spacing w:after="0"/>
              <w:rPr>
                <w:sz w:val="1"/>
                <w:szCs w:val="1"/>
                <w:color w:val="auto"/>
              </w:rPr>
            </w:pPr>
          </w:p>
        </w:tc>
      </w:tr>
    </w:tbl>
    <w:p>
      <w:pPr>
        <w:spacing w:after="0" w:line="1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8"/>
          <w:szCs w:val="18"/>
          <w:color w:val="auto"/>
        </w:rPr>
        <w:t xml:space="preserve">For Period Ended: </w:t>
      </w:r>
      <w:r>
        <w:rPr>
          <w:rFonts w:ascii="Times New Roman" w:cs="Times New Roman" w:eastAsia="Times New Roman" w:hAnsi="Times New Roman"/>
          <w:sz w:val="18"/>
          <w:szCs w:val="18"/>
          <w:u w:val="single" w:color="auto"/>
          <w:color w:val="auto"/>
        </w:rPr>
        <w:t>September 30, 2025</w:t>
      </w:r>
    </w:p>
    <w:p>
      <w:pPr>
        <w:spacing w:after="0" w:line="22" w:lineRule="exact"/>
        <w:rPr>
          <w:sz w:val="24"/>
          <w:szCs w:val="24"/>
          <w:color w:val="auto"/>
        </w:rPr>
      </w:pPr>
    </w:p>
    <w:p>
      <w:pPr>
        <w:ind w:left="1500" w:hanging="196"/>
        <w:spacing w:after="0"/>
        <w:tabs>
          <w:tab w:leader="none" w:pos="1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15" w:lineRule="exact"/>
        <w:rPr>
          <w:rFonts w:ascii="MS PGothic" w:cs="MS PGothic" w:eastAsia="MS PGothic" w:hAnsi="MS PGothic"/>
          <w:sz w:val="18"/>
          <w:szCs w:val="18"/>
          <w:color w:val="auto"/>
        </w:rPr>
      </w:pPr>
    </w:p>
    <w:p>
      <w:pPr>
        <w:ind w:left="1500" w:hanging="196"/>
        <w:spacing w:after="0"/>
        <w:tabs>
          <w:tab w:leader="none" w:pos="1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500" w:hanging="196"/>
        <w:spacing w:after="0"/>
        <w:tabs>
          <w:tab w:leader="none" w:pos="1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500" w:hanging="196"/>
        <w:spacing w:after="0"/>
        <w:tabs>
          <w:tab w:leader="none" w:pos="1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205"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the Transition Period Ended: __________________________________________________</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Read Instruction (on back page) Before Preparing Form. Please Print or Type.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136130" cy="3041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304165"/>
                    </a:xfrm>
                    <a:prstGeom prst="rect">
                      <a:avLst/>
                    </a:prstGeom>
                    <a:noFill/>
                  </pic:spPr>
                </pic:pic>
              </a:graphicData>
            </a:graphic>
          </wp:anchor>
        </w:drawing>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 ENIGMATIG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if Applicable: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Address of Principal Executive Office (Street and Number): 16 Raffles Quay, #30-01, Hong Leong Building, Singapore 048581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 Singapore 048581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89" w:lineRule="exact"/>
        <w:rPr>
          <w:sz w:val="20"/>
          <w:szCs w:val="20"/>
          <w:color w:val="auto"/>
        </w:rPr>
      </w:pPr>
    </w:p>
    <w:p>
      <w:pPr>
        <w:ind w:left="1280" w:hanging="246"/>
        <w:spacing w:after="0"/>
        <w:tabs>
          <w:tab w:leader="none" w:pos="12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described in reasonable detail in Part III of this form could not be eliminated without unreasonable effort or expense;</w:t>
      </w:r>
    </w:p>
    <w:p>
      <w:pPr>
        <w:spacing w:after="0" w:line="279" w:lineRule="exact"/>
        <w:rPr>
          <w:rFonts w:ascii="Times New Roman" w:cs="Times New Roman" w:eastAsia="Times New Roman" w:hAnsi="Times New Roman"/>
          <w:sz w:val="18"/>
          <w:szCs w:val="18"/>
          <w:color w:val="auto"/>
        </w:rPr>
      </w:pPr>
    </w:p>
    <w:p>
      <w:pPr>
        <w:ind w:left="1280" w:hanging="246"/>
        <w:spacing w:after="0"/>
        <w:tabs>
          <w:tab w:leader="none" w:pos="12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p>
      <w:pPr>
        <w:spacing w:after="0" w:line="27" w:lineRule="exact"/>
        <w:rPr>
          <w:rFonts w:ascii="Times New Roman" w:cs="Times New Roman" w:eastAsia="Times New Roman" w:hAnsi="Times New Roman"/>
          <w:sz w:val="18"/>
          <w:szCs w:val="18"/>
          <w:color w:val="auto"/>
        </w:rPr>
      </w:pPr>
    </w:p>
    <w:p>
      <w:pPr>
        <w:jc w:val="both"/>
        <w:ind w:left="1040" w:right="20" w:hanging="600"/>
        <w:spacing w:after="0" w:line="200" w:lineRule="auto"/>
        <w:tabs>
          <w:tab w:leader="none" w:pos="104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54" w:lineRule="exact"/>
        <w:rPr>
          <w:rFonts w:ascii="MS PGothic" w:cs="MS PGothic" w:eastAsia="MS PGothic" w:hAnsi="MS PGothic"/>
          <w:sz w:val="36"/>
          <w:szCs w:val="36"/>
          <w:color w:val="auto"/>
          <w:vertAlign w:val="subscript"/>
        </w:rPr>
      </w:pPr>
    </w:p>
    <w:p>
      <w:pPr>
        <w:ind w:left="1280" w:hanging="246"/>
        <w:spacing w:after="0"/>
        <w:tabs>
          <w:tab w:leader="none" w:pos="12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ENIGMATIG LIMITED (the “Company”) has determined that it will not be able to file its annual report on the Form 20-F for the fiscal year ended September 30, 2025 (the “Form 20-F”) within the prescribed due date without unreasonable effort and expense, due to a delay in obtaining and compiling information required to be included in the Form 20-F. The Company expects to file the Form 20-F on or before the extended deadline permitted under Rule 12b-25 under the Securities Exchange Act of 1934,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Name and telephone number of person to contact in regard to this notification.</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Teo Mingwen</w:t>
            </w:r>
          </w:p>
        </w:tc>
        <w:tc>
          <w:tcPr>
            <w:tcW w:w="358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20"/>
                <w:szCs w:val="20"/>
                <w:color w:val="auto"/>
              </w:rPr>
            </w:pPr>
          </w:p>
        </w:tc>
        <w:tc>
          <w:tcPr>
            <w:tcW w:w="330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6022 0493</w:t>
            </w:r>
          </w:p>
        </w:tc>
      </w:tr>
      <w:tr>
        <w:trPr>
          <w:trHeight w:val="234"/>
        </w:trPr>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w:t>
            </w:r>
          </w:p>
        </w:tc>
        <w:tc>
          <w:tcPr>
            <w:tcW w:w="220" w:type="dxa"/>
            <w:vAlign w:val="bottom"/>
          </w:tcPr>
          <w:p>
            <w:pPr>
              <w:spacing w:after="0"/>
              <w:rPr>
                <w:sz w:val="20"/>
                <w:szCs w:val="20"/>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(Area Code)</w:t>
            </w:r>
          </w:p>
        </w:tc>
        <w:tc>
          <w:tcPr>
            <w:tcW w:w="220" w:type="dxa"/>
            <w:vAlign w:val="bottom"/>
          </w:tcPr>
          <w:p>
            <w:pPr>
              <w:spacing w:after="0"/>
              <w:rPr>
                <w:sz w:val="20"/>
                <w:szCs w:val="20"/>
                <w:color w:val="auto"/>
              </w:rPr>
            </w:pPr>
          </w:p>
        </w:tc>
        <w:tc>
          <w:tcPr>
            <w:tcW w:w="3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79" w:lineRule="exact"/>
        <w:rPr>
          <w:sz w:val="20"/>
          <w:szCs w:val="20"/>
          <w:color w:val="auto"/>
        </w:rPr>
      </w:pPr>
    </w:p>
    <w:p>
      <w:pPr>
        <w:jc w:val="both"/>
        <w:ind w:firstLine="8"/>
        <w:spacing w:after="0" w:line="255"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2" w:lineRule="exact"/>
        <w:rPr>
          <w:sz w:val="20"/>
          <w:szCs w:val="20"/>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5" w:lineRule="exact"/>
        <w:rPr>
          <w:sz w:val="20"/>
          <w:szCs w:val="20"/>
          <w:color w:val="auto"/>
        </w:rPr>
      </w:pPr>
    </w:p>
    <w:p>
      <w:pPr>
        <w:ind w:firstLine="8"/>
        <w:spacing w:after="0" w:line="258"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8420" w:type="dxa"/>
            <w:vAlign w:val="bottom"/>
            <w:gridSpan w:val="2"/>
          </w:tcPr>
          <w:p>
            <w:pPr>
              <w:jc w:val="center"/>
              <w:ind w:right="2710"/>
              <w:spacing w:after="0"/>
              <w:rPr>
                <w:sz w:val="20"/>
                <w:szCs w:val="20"/>
                <w:color w:val="auto"/>
              </w:rPr>
            </w:pPr>
            <w:r>
              <w:rPr>
                <w:rFonts w:ascii="Times New Roman" w:cs="Times New Roman" w:eastAsia="Times New Roman" w:hAnsi="Times New Roman"/>
                <w:sz w:val="18"/>
                <w:szCs w:val="18"/>
                <w:color w:val="auto"/>
                <w:w w:val="98"/>
              </w:rPr>
              <w:t>ENIGMATIG LIMITED</w:t>
            </w:r>
          </w:p>
        </w:tc>
      </w:tr>
      <w:tr>
        <w:trPr>
          <w:trHeight w:val="234"/>
        </w:trPr>
        <w:tc>
          <w:tcPr>
            <w:tcW w:w="2820" w:type="dxa"/>
            <w:vAlign w:val="bottom"/>
          </w:tcPr>
          <w:p>
            <w:pPr>
              <w:spacing w:after="0"/>
              <w:rPr>
                <w:sz w:val="20"/>
                <w:szCs w:val="20"/>
                <w:color w:val="auto"/>
              </w:rPr>
            </w:pPr>
          </w:p>
        </w:tc>
        <w:tc>
          <w:tcPr>
            <w:tcW w:w="8420" w:type="dxa"/>
            <w:vAlign w:val="bottom"/>
            <w:gridSpan w:val="2"/>
          </w:tcPr>
          <w:p>
            <w:pPr>
              <w:jc w:val="center"/>
              <w:ind w:right="2710"/>
              <w:spacing w:after="0"/>
              <w:rPr>
                <w:sz w:val="20"/>
                <w:szCs w:val="20"/>
                <w:color w:val="auto"/>
              </w:rPr>
            </w:pPr>
            <w:r>
              <w:rPr>
                <w:rFonts w:ascii="Times New Roman" w:cs="Times New Roman" w:eastAsia="Times New Roman" w:hAnsi="Times New Roman"/>
                <w:sz w:val="18"/>
                <w:szCs w:val="18"/>
                <w:color w:val="auto"/>
              </w:rPr>
              <w:t>(Name of Registrant as Specified in Charter)</w:t>
            </w:r>
          </w:p>
        </w:tc>
      </w:tr>
      <w:tr>
        <w:trPr>
          <w:trHeight w:val="432"/>
        </w:trPr>
        <w:tc>
          <w:tcPr>
            <w:tcW w:w="1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tc>
      </w:tr>
      <w:tr>
        <w:trPr>
          <w:trHeight w:val="43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 2026</w:t>
            </w:r>
          </w:p>
        </w:tc>
        <w:tc>
          <w:tcPr>
            <w:tcW w:w="842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Teo Mingwen</w:t>
            </w:r>
          </w:p>
        </w:tc>
      </w:tr>
      <w:tr>
        <w:trPr>
          <w:trHeight w:val="191"/>
        </w:trPr>
        <w:tc>
          <w:tcPr>
            <w:tcW w:w="28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Teo Mingwen</w:t>
            </w:r>
          </w:p>
        </w:tc>
      </w:tr>
      <w:tr>
        <w:trPr>
          <w:trHeight w:val="234"/>
        </w:trPr>
        <w:tc>
          <w:tcPr>
            <w:tcW w:w="28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Financial Officer</w:t>
            </w:r>
          </w:p>
        </w:tc>
      </w:tr>
      <w:tr>
        <w:trPr>
          <w:trHeight w:val="432"/>
        </w:trPr>
        <w:tc>
          <w:tcPr>
            <w:tcW w:w="28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jc w:val="center"/>
              <w:ind w:left="2370"/>
              <w:spacing w:after="0"/>
              <w:rPr>
                <w:sz w:val="20"/>
                <w:szCs w:val="20"/>
                <w:color w:val="auto"/>
              </w:rPr>
            </w:pPr>
            <w:r>
              <w:rPr>
                <w:rFonts w:ascii="Times New Roman" w:cs="Times New Roman" w:eastAsia="Times New Roman" w:hAnsi="Times New Roman"/>
                <w:sz w:val="18"/>
                <w:szCs w:val="18"/>
                <w:color w:val="auto"/>
                <w:w w:val="88"/>
              </w:rPr>
              <w:t>3</w:t>
            </w: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1"/>
    </w:lvl>
  </w:abstractNum>
  <w:abstractNum w:abstractNumId="2">
    <w:nsid w:val="625558EC"/>
    <w:multiLevelType w:val="hybridMultilevel"/>
    <w:lvl w:ilvl="0">
      <w:lvlJc w:val="left"/>
      <w:lvlText w:val="☒"/>
      <w:numFmt w:val="bullet"/>
      <w:start w:val="1"/>
    </w:lvl>
    <w:lvl w:ilvl="1">
      <w:lvlJc w:val="left"/>
      <w:lvlText w:val="(%2)"/>
      <w:numFmt w:val="lowerLetter"/>
      <w:start w:val="3"/>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2026-02-02T06:56:33Z</dcterms:created>
  <dcterms:modified xsi:type="dcterms:W3CDTF">2026-02-02T06:56:33Z</dcterms:modified>
</cp:coreProperties>
</file>