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1239"/>
        <w:spacing w:after="0" w:line="27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144780</wp:posOffset>
            </wp:positionV>
            <wp:extent cx="715772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453390</wp:posOffset>
            </wp:positionV>
            <wp:extent cx="7157720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 Washington, D.C. 20549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SCHEDULE 13G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UNDER THE SECURITIES EXCHANGE ACT OF 1934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ENIGMATIG LIMITED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(Name of Issuer)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Class A ordinary shares, par value US$ 0.000002 per share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(Title of Class of Securities)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G3066T104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(CUSIP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06/30/2025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1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(Date of Event Which Requires Filing of this Statement)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to designate the rule pursuant to which this Schedule is filed: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13d-1(b)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13d-1(c)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92710</wp:posOffset>
            </wp:positionV>
            <wp:extent cx="7157720" cy="425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178435</wp:posOffset>
            </wp:positionV>
            <wp:extent cx="7157720" cy="425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CUSIP No.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G3066T104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Teo Mingwen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2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SINGAPORE</w:t>
      </w:r>
    </w:p>
    <w:p>
      <w:pPr>
        <w:spacing w:after="0" w:line="233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3"/>
          <w:szCs w:val="33"/>
          <w:color w:val="auto"/>
          <w:vertAlign w:val="superscript"/>
        </w:rPr>
        <w:t>Number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 Sole Voting Power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sectPr>
          <w:pgSz w:w="11900" w:h="16838" w:orient="portrait"/>
          <w:cols w:equalWidth="0" w:num="1">
            <w:col w:w="10099"/>
          </w:cols>
          <w:pgMar w:left="360" w:top="866" w:right="1440" w:bottom="0" w:gutter="0" w:footer="0" w:header="0"/>
        </w:sectPr>
      </w:pPr>
    </w:p>
    <w:bookmarkStart w:id="1" w:name="page2"/>
    <w:bookmarkEnd w:id="1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ind w:left="4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ind w:left="4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2,375,000.00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2,375,000.00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2,375,000.00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8.5 %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100" w:space="60"/>
            <w:col w:w="10080"/>
          </w:cols>
          <w:pgMar w:left="320" w:top="111" w:right="339" w:bottom="0" w:gutter="0" w:footer="0" w:header="0"/>
        </w:sectPr>
      </w:pP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24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 xml:space="preserve">Comment for Type of Reporting Person: 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Note to Rows (11): The calculation of 8.5% (on an as-converted basis) is based on (i)</w:t>
      </w: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the numerator of 2,375,000, being the number of the Class A ordinary shares held by Teo Mingwen and (ii) the denominator of 28,005,200, being the sum of (x) 12,255,200, being the number of the Issuer's Class A ordinary shares issued and outstanding as of June 30, 2025 as provided by the Issuer, and (y) 15,750,000, being the number of the Issuer's total Class B ordinary shares issued and outstanding as of June 30, 2025 as provided by the Issuer. Holders of Class A ordinary shares and Class B ordinary shares have the same rights except for voting and conversion rights. Each Class A ordinary share is entitled to one vote. Each Class B ordinary share is entitled to 10 votes. Each Class B ordinary share is convertible into a Class A ordinary share at any time by the holder thereof, while Class A ordinary shares are not convertible into Class B ordinary shares under any circumstances.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issuer: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ENIGMATIG LIMITED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of issuer's principal executive offices: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c/o 16 Raffles Quay, #30-01, Hong Leong Building, Singapore 048581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2.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person filing: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Teo Mingwen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or principal business office or, if none, residence: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The address of Teo Mingwen is c/o 16 Raffles Quay, #30-01, Hong Leong Building, Singapore 048581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(c)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Teo Mingwen is a citizen of the Republic of Singapore.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Title of class of securities: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(d)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Class A ordinary shares, par value US$ 0.000002 per share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CUSIP No.: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(e)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G3066T104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3.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If this statement is filed pursuant to §§ 240.13d-1(b) or 240.13d-2(b) or (c), check whether the person filing is a: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Broker or dealer registered under section 15 of the Act (15 U.S.C. 78o);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Bank as defined in section 3(a)(6) of the Act (15 U.S.C. 78c);</w:t>
      </w:r>
    </w:p>
    <w:p>
      <w:pPr>
        <w:sectPr>
          <w:pgSz w:w="11900" w:h="16838" w:orient="portrait"/>
          <w:cols w:equalWidth="0" w:num="1">
            <w:col w:w="11240"/>
          </w:cols>
          <w:pgMar w:left="320" w:top="111" w:right="339" w:bottom="0" w:gutter="0" w:footer="0" w:header="0"/>
          <w:type w:val="continuous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(c)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(d)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(e)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(f)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(g)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(h)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(i)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(j)</w:t>
      </w: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(k)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4.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Insurance company as defined in section 3(a)(19) of the Act (15 U.S.C. 78c);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27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Investment company registered under section 8 of the Investment Company Act of 1940 (15 U.S.C. 80a-8);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-144145</wp:posOffset>
            </wp:positionV>
            <wp:extent cx="128905" cy="12890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An investment adviser in accordance with § 240.13d-1(b)(1)(ii)(E);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An employee benefit plan or endowment fund in accordance with § 240.13d-1(b)(1)(ii)(F);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 parent holding company or control person in accordance with § 240.13d-1(b)(1)(ii)(G);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 savings associations as defined in Section 3(b) of the Federal Deposit Insurance Act (12 U.S.C. 1813);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right="660"/>
        <w:spacing w:after="0" w:line="258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A church plan that is excluded from the definition of an investment company under section 3(c)(14) of the Investment Company Act of 1940 (15 U.S.C. 80a-3);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right="1000"/>
        <w:spacing w:after="0" w:line="241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A non-U.S. institution in accordance with § 240.13d-1(b)(1)(ii)(J). If filing as a non-U.S. institution in accordance with § 240.13d-1(b)(1)(ii)(J),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please specify the type of institution: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Group, in accordance with Rule 240.13d-1(b)(1)(ii)(K).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Amount beneficially owned: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620"/>
        <w:spacing w:after="0" w:line="2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The information required by Item 4(a) is set forth in Row 9 of the cover page for the Reporting Person and is incorporated herein by reference. Teo Mingwen owned 2,375,000 Class A ordinary shares as of June 30, 2025.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20" w:space="300"/>
            <w:col w:w="10200"/>
          </w:cols>
          <w:pgMar w:left="360" w:top="111" w:right="419" w:bottom="0" w:gutter="0" w:footer="0" w:header="0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920" w:right="120"/>
        <w:spacing w:after="0" w:line="2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The information required by Item 4(b) is set forth in Row 11 of the cover page for the Reporting Person and is incorporated herein by reference. The calculation of 8.5% (on an as-converted basis) is based on (i) the numerator of 2,375,000, and (ii) the denominator of 28,005,200, being the sum of 12,255,200, being the number of the Issuer's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20" w:hanging="912"/>
        <w:spacing w:after="0" w:line="232" w:lineRule="auto"/>
        <w:tabs>
          <w:tab w:leader="none" w:pos="9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Class A ordinary shares issued and outstanding as of June 30, 2025 and 15,750,000, being the number of the Issuer's total Class B ordinary shares issued and outstanding as of June 30, 2025. The Class B ordinary shares are treated as converted into Class A ordinary shares only for the purpose of calculating the percentage ownership. Holders of Class A ordinary shares and Class B ordinary shares have the same rights except for voting and conversion rights. Each Class A ordinary share is entitled to one vote. Each Class B ordinary share is entitled to ten votes, and is convertible into one Class A ordinary share at any time at the option of the holder thereof. %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 shares as to which the person has:</w:t>
      </w:r>
    </w:p>
    <w:p>
      <w:pPr>
        <w:sectPr>
          <w:pgSz w:w="11900" w:h="16838" w:orient="portrait"/>
          <w:cols w:equalWidth="0" w:num="1">
            <w:col w:w="11120"/>
          </w:cols>
          <w:pgMar w:left="360" w:top="111" w:right="419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5.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7.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8.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right="6500" w:firstLine="6"/>
        <w:spacing w:after="0" w:line="486" w:lineRule="auto"/>
        <w:tabs>
          <w:tab w:leader="none" w:pos="258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power to vote or to direct the vote: 2,375,000.00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right="6220" w:firstLine="6"/>
        <w:spacing w:after="0" w:line="486" w:lineRule="auto"/>
        <w:tabs>
          <w:tab w:leader="none" w:pos="318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vote or to direct the vote: 0.00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right="5300" w:firstLine="6"/>
        <w:spacing w:after="0" w:line="486" w:lineRule="auto"/>
        <w:tabs>
          <w:tab w:leader="none" w:pos="378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power to dispose or to direct the disposition of: 2,375,000.00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right="5100" w:firstLine="6"/>
        <w:spacing w:after="0" w:line="486" w:lineRule="auto"/>
        <w:tabs>
          <w:tab w:leader="none" w:pos="366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dispose or to direct the disposition of: 0.00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5 Percent or Less of a Class.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more than 5 Percent on Behalf of Another Person.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44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the Subsidiary Which Acquired the Security Being Reported on by the Parent Holding Company or Control Person.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Members of the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20" w:space="300"/>
            <w:col w:w="10200"/>
          </w:cols>
          <w:pgMar w:left="360" w:top="111" w:right="419" w:bottom="0" w:gutter="0" w:footer="0" w:header="0"/>
          <w:type w:val="continuous"/>
        </w:sect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9.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Notice of Dissolution of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10. Certifications: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ectPr>
          <w:pgSz w:w="11900" w:h="16838" w:orient="portrait"/>
          <w:cols w:equalWidth="0" w:num="1">
            <w:col w:w="11120"/>
          </w:cols>
          <w:pgMar w:left="360" w:top="111" w:right="419" w:bottom="0" w:gutter="0" w:footer="0" w:header="0"/>
          <w:type w:val="continuous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26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After reasonable inquiry and to the best of my knowledge and belief, I certify that the information set forth in this statement is true, complete and correct.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1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Teo Mingwen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520"/>
        <w:spacing w:after="0"/>
        <w:tabs>
          <w:tab w:leader="none" w:pos="3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/s/ Teo Mingwen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Teo Mingwen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520"/>
        <w:spacing w:after="0"/>
        <w:tabs>
          <w:tab w:leader="none" w:pos="3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08/14/2025</w:t>
      </w:r>
    </w:p>
    <w:sectPr>
      <w:pgSz w:w="11900" w:h="16838" w:orient="portrait"/>
      <w:cols w:equalWidth="0" w:num="1">
        <w:col w:w="10920"/>
      </w:cols>
      <w:pgMar w:left="580" w:top="153" w:right="3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2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3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(%1)"/>
      <w:numFmt w:val="lowerLetter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lowerLetter"/>
      <w:start w:val="2"/>
    </w:lvl>
  </w:abstractNum>
  <w:abstractNum w:abstractNumId="4">
    <w:nsid w:val="46E87CCD"/>
    <w:multiLevelType w:val="hybridMultilevel"/>
    <w:lvl w:ilvl="0">
      <w:lvlJc w:val="left"/>
      <w:lvlText w:val="(%1)"/>
      <w:numFmt w:val="lowerRoman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2025-08-14T13:28:25Z</dcterms:created>
  <dcterms:modified xsi:type="dcterms:W3CDTF">2025-08-14T13:28:25Z</dcterms:modified>
</cp:coreProperties>
</file>